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B5" w:rsidRDefault="001959B5" w:rsidP="001959B5">
      <w:pPr>
        <w:rPr>
          <w:rFonts w:ascii="Verdana" w:eastAsia="Times New Roman" w:hAnsi="Verdana"/>
          <w:b/>
          <w:bCs/>
          <w:color w:val="1F497D"/>
          <w:kern w:val="0"/>
          <w:sz w:val="52"/>
          <w:szCs w:val="52"/>
          <w:lang w:eastAsia="en-GB"/>
        </w:rPr>
      </w:pPr>
      <w:r w:rsidRPr="003821B1">
        <w:rPr>
          <w:rFonts w:ascii="Verdana" w:eastAsia="Times New Roman" w:hAnsi="Verdana"/>
          <w:b/>
          <w:bCs/>
          <w:color w:val="1F497D"/>
          <w:kern w:val="0"/>
          <w:sz w:val="52"/>
          <w:szCs w:val="52"/>
          <w:lang w:eastAsia="en-GB"/>
        </w:rPr>
        <w:t>Are We Ready to Mentor?</w:t>
      </w:r>
    </w:p>
    <w:p w:rsidR="001959B5" w:rsidRPr="003821B1" w:rsidRDefault="001959B5" w:rsidP="001959B5">
      <w:pPr>
        <w:rPr>
          <w:rFonts w:ascii="Verdana" w:eastAsia="Times New Roman" w:hAnsi="Verdana"/>
          <w:b/>
          <w:bCs/>
          <w:color w:val="1F497D"/>
          <w:kern w:val="0"/>
          <w:sz w:val="52"/>
          <w:szCs w:val="52"/>
          <w:lang w:eastAsia="en-GB"/>
        </w:rPr>
      </w:pPr>
    </w:p>
    <w:p w:rsidR="001959B5" w:rsidRPr="003821B1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 w:val="22"/>
          <w:szCs w:val="22"/>
          <w:lang w:eastAsia="en-GB"/>
        </w:rPr>
      </w:pPr>
      <w:r w:rsidRPr="003821B1">
        <w:rPr>
          <w:rFonts w:ascii="Verdana" w:eastAsia="Times New Roman" w:hAnsi="Verdana"/>
          <w:color w:val="auto"/>
          <w:kern w:val="0"/>
          <w:sz w:val="22"/>
          <w:szCs w:val="22"/>
          <w:lang w:eastAsia="en-GB"/>
        </w:rPr>
        <w:t>Use this diagnostic to help you to decide how ready your organisation is to introduce mentoring.</w:t>
      </w:r>
    </w:p>
    <w:p w:rsidR="001959B5" w:rsidRPr="003821B1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 w:val="22"/>
          <w:szCs w:val="22"/>
          <w:lang w:eastAsia="en-GB"/>
        </w:rPr>
      </w:pPr>
      <w:r w:rsidRPr="003821B1">
        <w:rPr>
          <w:rFonts w:ascii="Verdana" w:eastAsia="Times New Roman" w:hAnsi="Verdana"/>
          <w:color w:val="auto"/>
          <w:kern w:val="0"/>
          <w:sz w:val="22"/>
          <w:szCs w:val="22"/>
          <w:lang w:eastAsia="en-GB"/>
        </w:rPr>
        <w:t xml:space="preserve">Respond to the following statements, as you believe them to be true within your organisation, by placing a tick in the appropriate box.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10"/>
        <w:gridCol w:w="1141"/>
        <w:gridCol w:w="1036"/>
        <w:gridCol w:w="1478"/>
        <w:gridCol w:w="1182"/>
        <w:gridCol w:w="1182"/>
      </w:tblGrid>
      <w:tr w:rsidR="001959B5" w:rsidRPr="00432D47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292F1D" w:rsidRDefault="001959B5" w:rsidP="007A43AF">
            <w:pPr>
              <w:spacing w:after="120" w:line="276" w:lineRule="auto"/>
              <w:jc w:val="left"/>
              <w:rPr>
                <w:rFonts w:eastAsia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center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b/>
                <w:bCs/>
                <w:color w:val="auto"/>
                <w:kern w:val="0"/>
                <w:sz w:val="20"/>
                <w:szCs w:val="20"/>
                <w:lang w:eastAsia="en-GB"/>
              </w:rPr>
              <w:t>Strongly agree</w:t>
            </w: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center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b/>
                <w:bCs/>
                <w:color w:val="auto"/>
                <w:kern w:val="0"/>
                <w:sz w:val="20"/>
                <w:szCs w:val="20"/>
                <w:lang w:eastAsia="en-GB"/>
              </w:rPr>
              <w:t>Agree</w:t>
            </w: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center"/>
              <w:rPr>
                <w:rFonts w:ascii="Verdana" w:eastAsia="Times New Roman" w:hAnsi="Verdana"/>
                <w:b/>
                <w:bCs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b/>
                <w:bCs/>
                <w:color w:val="auto"/>
                <w:kern w:val="0"/>
                <w:sz w:val="20"/>
                <w:szCs w:val="20"/>
                <w:lang w:eastAsia="en-GB"/>
              </w:rPr>
              <w:t>I haven’t a clue! (uncertain)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center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b/>
                <w:bCs/>
                <w:color w:val="auto"/>
                <w:kern w:val="0"/>
                <w:sz w:val="20"/>
                <w:szCs w:val="20"/>
                <w:lang w:eastAsia="en-GB"/>
              </w:rPr>
              <w:t>Disagree</w:t>
            </w: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center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b/>
                <w:bCs/>
                <w:color w:val="auto"/>
                <w:kern w:val="0"/>
                <w:sz w:val="20"/>
                <w:szCs w:val="20"/>
                <w:lang w:eastAsia="en-GB"/>
              </w:rPr>
              <w:t>Strongly Disagree</w:t>
            </w: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9829" w:type="dxa"/>
            <w:gridSpan w:val="6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center"/>
              <w:rPr>
                <w:rFonts w:ascii="Verdana" w:eastAsia="Times New Roman" w:hAnsi="Verdana"/>
                <w:b/>
                <w:bCs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b/>
                <w:bCs/>
                <w:color w:val="auto"/>
                <w:kern w:val="0"/>
                <w:sz w:val="27"/>
                <w:szCs w:val="27"/>
                <w:lang w:eastAsia="en-GB"/>
              </w:rPr>
              <w:t>Culture of Organisation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We are genuinely in favour of more informal approaches to learning and development.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Two-way communication in all areas of the organisation is the norm.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It is expected that workers will actively contribute to and engage with learning.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Mistakes are seen as an opportunity for learning rather than attributing blame.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Organisational learning has support from the top.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There is a high degree of trust in the organisation.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9829" w:type="dxa"/>
            <w:gridSpan w:val="6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center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b/>
                <w:bCs/>
                <w:color w:val="auto"/>
                <w:kern w:val="0"/>
                <w:sz w:val="27"/>
                <w:szCs w:val="27"/>
                <w:lang w:eastAsia="en-GB"/>
              </w:rPr>
              <w:t>Structure and Systems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The organisation has systems in place to support workers efforts to develop themselves.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Workers are empowered to make decisions, when appropriate.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lastRenderedPageBreak/>
              <w:t xml:space="preserve">We have processes in place for recognising and rewarding good performance.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There is a system for regular performance review.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There is an effective process in place for identifying Workers with high potential.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</w:tbl>
    <w:p w:rsidR="001959B5" w:rsidRPr="003821B1" w:rsidRDefault="001959B5" w:rsidP="001959B5">
      <w:pPr>
        <w:rPr>
          <w:rFonts w:ascii="Verdana" w:hAnsi="Verdana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06"/>
        <w:gridCol w:w="1141"/>
        <w:gridCol w:w="1040"/>
        <w:gridCol w:w="1478"/>
        <w:gridCol w:w="1182"/>
        <w:gridCol w:w="1182"/>
      </w:tblGrid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hAnsi="Verdana"/>
              </w:rPr>
              <w:br w:type="page"/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center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b/>
                <w:bCs/>
                <w:color w:val="auto"/>
                <w:kern w:val="0"/>
                <w:sz w:val="20"/>
                <w:szCs w:val="20"/>
                <w:lang w:eastAsia="en-GB"/>
              </w:rPr>
              <w:t>Strongly agree</w:t>
            </w: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center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b/>
                <w:bCs/>
                <w:color w:val="auto"/>
                <w:kern w:val="0"/>
                <w:sz w:val="20"/>
                <w:szCs w:val="20"/>
                <w:lang w:eastAsia="en-GB"/>
              </w:rPr>
              <w:t>Agree</w:t>
            </w: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center"/>
              <w:rPr>
                <w:rFonts w:ascii="Verdana" w:eastAsia="Times New Roman" w:hAnsi="Verdana"/>
                <w:b/>
                <w:bCs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b/>
                <w:bCs/>
                <w:color w:val="auto"/>
                <w:kern w:val="0"/>
                <w:sz w:val="20"/>
                <w:szCs w:val="20"/>
                <w:lang w:eastAsia="en-GB"/>
              </w:rPr>
              <w:t>I haven’t a clue! (uncertain)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center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b/>
                <w:bCs/>
                <w:color w:val="auto"/>
                <w:kern w:val="0"/>
                <w:sz w:val="20"/>
                <w:szCs w:val="20"/>
                <w:lang w:eastAsia="en-GB"/>
              </w:rPr>
              <w:t>Disagree</w:t>
            </w: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center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b/>
                <w:bCs/>
                <w:color w:val="auto"/>
                <w:kern w:val="0"/>
                <w:sz w:val="20"/>
                <w:szCs w:val="20"/>
                <w:lang w:eastAsia="en-GB"/>
              </w:rPr>
              <w:t>Strongly Disagree</w:t>
            </w: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9829" w:type="dxa"/>
            <w:gridSpan w:val="6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center"/>
              <w:rPr>
                <w:rFonts w:ascii="Verdana" w:eastAsia="Times New Roman" w:hAnsi="Verdana"/>
                <w:b/>
                <w:bCs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b/>
                <w:bCs/>
                <w:color w:val="auto"/>
                <w:kern w:val="0"/>
                <w:sz w:val="27"/>
                <w:szCs w:val="27"/>
                <w:lang w:eastAsia="en-GB"/>
              </w:rPr>
              <w:t>Managers’ Skills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Managers take the responsibility to develop their staff seriously.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Managers encourage workers to talk about their strengths and weaknesses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In general, managers are good at giving constructive feedback.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Managers consider the long-term development of their workers.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Managers encourage Workers to set career goals.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Delegation is regularly and effectively practised by managers.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The prevailing management style is consultative.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9829" w:type="dxa"/>
            <w:gridSpan w:val="6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center"/>
              <w:rPr>
                <w:rFonts w:ascii="Verdana" w:eastAsia="Times New Roman" w:hAnsi="Verdana"/>
                <w:b/>
                <w:bCs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b/>
                <w:bCs/>
                <w:color w:val="auto"/>
                <w:kern w:val="0"/>
                <w:sz w:val="27"/>
                <w:szCs w:val="27"/>
                <w:lang w:eastAsia="en-GB"/>
              </w:rPr>
              <w:t xml:space="preserve">Workers’ Attitudes 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Workers respond positively to constructive criticism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lastRenderedPageBreak/>
              <w:t xml:space="preserve">Workers are goal-focused and committed to achieving their learning objectives.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Workers are aware of their responsibility for their own learning and development.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Workers seek out opportunities to improve their knowledge and skills.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Workers adopt a supportive style of working, passing on their knowledge and skills.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  <w:tr w:rsidR="001959B5" w:rsidRPr="003821B1" w:rsidTr="007A43AF">
        <w:trPr>
          <w:tblCellSpacing w:w="0" w:type="dxa"/>
          <w:jc w:val="center"/>
        </w:trPr>
        <w:tc>
          <w:tcPr>
            <w:tcW w:w="4237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 xml:space="preserve">Workers are generally keen to improve their performance and develop new skills. </w:t>
            </w:r>
          </w:p>
        </w:tc>
        <w:tc>
          <w:tcPr>
            <w:tcW w:w="1122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8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6" w:type="dxa"/>
            <w:vAlign w:val="center"/>
            <w:hideMark/>
          </w:tcPr>
          <w:p w:rsidR="001959B5" w:rsidRPr="003821B1" w:rsidRDefault="001959B5" w:rsidP="007A43AF">
            <w:pPr>
              <w:spacing w:after="120" w:line="276" w:lineRule="auto"/>
              <w:jc w:val="left"/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</w:pPr>
            <w:r w:rsidRPr="003821B1">
              <w:rPr>
                <w:rFonts w:ascii="Verdana" w:eastAsia="Times New Roman" w:hAnsi="Verdana"/>
                <w:color w:val="auto"/>
                <w:kern w:val="0"/>
                <w:sz w:val="20"/>
                <w:szCs w:val="20"/>
                <w:lang w:eastAsia="en-GB"/>
              </w:rPr>
              <w:t> </w:t>
            </w:r>
          </w:p>
        </w:tc>
      </w:tr>
    </w:tbl>
    <w:p w:rsidR="001959B5" w:rsidRPr="003821B1" w:rsidRDefault="001959B5" w:rsidP="001959B5">
      <w:pPr>
        <w:spacing w:after="120" w:line="276" w:lineRule="auto"/>
        <w:jc w:val="left"/>
        <w:outlineLvl w:val="2"/>
        <w:rPr>
          <w:rFonts w:ascii="Verdana" w:eastAsia="Times New Roman" w:hAnsi="Verdana"/>
          <w:b/>
          <w:bCs/>
          <w:color w:val="auto"/>
          <w:kern w:val="0"/>
          <w:sz w:val="27"/>
          <w:szCs w:val="27"/>
          <w:lang w:eastAsia="en-GB"/>
        </w:rPr>
      </w:pPr>
    </w:p>
    <w:p w:rsidR="001959B5" w:rsidRDefault="001959B5" w:rsidP="001959B5">
      <w:pPr>
        <w:rPr>
          <w:rFonts w:ascii="Verdana" w:eastAsia="Times New Roman" w:hAnsi="Verdana"/>
          <w:b/>
          <w:bCs/>
          <w:color w:val="auto"/>
          <w:kern w:val="0"/>
          <w:sz w:val="28"/>
          <w:lang w:eastAsia="en-GB"/>
        </w:rPr>
      </w:pPr>
      <w:r w:rsidRPr="003821B1">
        <w:rPr>
          <w:rFonts w:ascii="Verdana" w:eastAsia="Times New Roman" w:hAnsi="Verdana"/>
          <w:b/>
          <w:bCs/>
          <w:color w:val="auto"/>
          <w:kern w:val="0"/>
          <w:sz w:val="28"/>
          <w:lang w:eastAsia="en-GB"/>
        </w:rPr>
        <w:t>Interpretation</w:t>
      </w:r>
    </w:p>
    <w:p w:rsidR="001959B5" w:rsidRPr="003821B1" w:rsidRDefault="001959B5" w:rsidP="001959B5">
      <w:pPr>
        <w:rPr>
          <w:rFonts w:ascii="Verdana" w:eastAsia="Times New Roman" w:hAnsi="Verdana"/>
          <w:b/>
          <w:bCs/>
          <w:color w:val="auto"/>
          <w:kern w:val="0"/>
          <w:sz w:val="28"/>
          <w:lang w:eastAsia="en-GB"/>
        </w:rPr>
      </w:pPr>
    </w:p>
    <w:p w:rsidR="001959B5" w:rsidRPr="003821B1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  <w:r w:rsidRPr="003821B1">
        <w:rPr>
          <w:rFonts w:ascii="Verdana" w:eastAsia="Times New Roman" w:hAnsi="Verdana"/>
          <w:color w:val="auto"/>
          <w:kern w:val="0"/>
          <w:szCs w:val="24"/>
          <w:lang w:eastAsia="en-GB"/>
        </w:rPr>
        <w:t xml:space="preserve">Statements with a tick in either of the two right-hand columns are likely to be areas in need of development. </w:t>
      </w:r>
    </w:p>
    <w:p w:rsidR="001959B5" w:rsidRPr="003821B1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  <w:r w:rsidRPr="003821B1">
        <w:rPr>
          <w:rFonts w:ascii="Verdana" w:eastAsia="Times New Roman" w:hAnsi="Verdana"/>
          <w:color w:val="auto"/>
          <w:kern w:val="0"/>
          <w:szCs w:val="24"/>
          <w:lang w:eastAsia="en-GB"/>
        </w:rPr>
        <w:t xml:space="preserve">Statements with a tick in either of the two left-hand columns indicate areas in which the organisation may already be prepared to adopt a coaching or mentoring programme. </w:t>
      </w:r>
    </w:p>
    <w:p w:rsidR="001959B5" w:rsidRPr="003821B1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</w:p>
    <w:p w:rsidR="001959B5" w:rsidRPr="003821B1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  <w:r w:rsidRPr="003821B1">
        <w:rPr>
          <w:rFonts w:ascii="Verdana" w:eastAsia="Times New Roman" w:hAnsi="Verdana"/>
          <w:color w:val="auto"/>
          <w:kern w:val="0"/>
          <w:szCs w:val="24"/>
          <w:lang w:eastAsia="en-GB"/>
        </w:rPr>
        <w:t>Review each statement. If it has been identified as a strength, how can your organisation use this to build on the mentoring programme and help to get it off the ground? If it has been identified as a weakness, what can your organisation do to address the issues and prepare to successfully adopt a mentoring programme?</w:t>
      </w:r>
    </w:p>
    <w:p w:rsidR="001959B5" w:rsidRPr="003821B1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</w:p>
    <w:p w:rsidR="001959B5" w:rsidRPr="003821B1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  <w:r w:rsidRPr="003821B1">
        <w:rPr>
          <w:rFonts w:ascii="Verdana" w:eastAsia="Times New Roman" w:hAnsi="Verdana"/>
          <w:color w:val="auto"/>
          <w:kern w:val="0"/>
          <w:szCs w:val="24"/>
          <w:lang w:eastAsia="en-GB"/>
        </w:rPr>
        <w:t>The statements are divided into sections to help you to pinpoint particular areas o</w:t>
      </w:r>
      <w:r>
        <w:rPr>
          <w:rFonts w:ascii="Verdana" w:eastAsia="Times New Roman" w:hAnsi="Verdana"/>
          <w:color w:val="auto"/>
          <w:kern w:val="0"/>
          <w:szCs w:val="24"/>
          <w:lang w:eastAsia="en-GB"/>
        </w:rPr>
        <w:t>f</w:t>
      </w:r>
      <w:r w:rsidRPr="003821B1">
        <w:rPr>
          <w:rFonts w:ascii="Verdana" w:eastAsia="Times New Roman" w:hAnsi="Verdana"/>
          <w:color w:val="auto"/>
          <w:kern w:val="0"/>
          <w:szCs w:val="24"/>
          <w:lang w:eastAsia="en-GB"/>
        </w:rPr>
        <w:t xml:space="preserve"> strength and weakness. Next review each section. Do any sections stand out as particular areas of strength or weakness? Consider how you can address each area as a whole.</w:t>
      </w:r>
    </w:p>
    <w:p w:rsidR="001959B5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</w:p>
    <w:p w:rsidR="001959B5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</w:p>
    <w:p w:rsidR="001959B5" w:rsidRPr="003821B1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</w:p>
    <w:p w:rsidR="001959B5" w:rsidRPr="003821B1" w:rsidRDefault="001959B5" w:rsidP="001959B5">
      <w:pPr>
        <w:spacing w:after="120" w:line="276" w:lineRule="auto"/>
        <w:jc w:val="left"/>
        <w:rPr>
          <w:rFonts w:ascii="Verdana" w:eastAsia="Times New Roman" w:hAnsi="Verdana"/>
          <w:b/>
          <w:color w:val="auto"/>
          <w:kern w:val="0"/>
          <w:sz w:val="28"/>
          <w:lang w:eastAsia="en-GB"/>
        </w:rPr>
      </w:pPr>
      <w:r w:rsidRPr="003821B1">
        <w:rPr>
          <w:rFonts w:ascii="Verdana" w:eastAsia="Times New Roman" w:hAnsi="Verdana"/>
          <w:b/>
          <w:color w:val="auto"/>
          <w:kern w:val="0"/>
          <w:sz w:val="28"/>
          <w:lang w:eastAsia="en-GB"/>
        </w:rPr>
        <w:lastRenderedPageBreak/>
        <w:t>Continuous Learning Framework</w:t>
      </w:r>
    </w:p>
    <w:p w:rsidR="001959B5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  <w:r w:rsidRPr="003821B1">
        <w:rPr>
          <w:rFonts w:ascii="Verdana" w:eastAsia="Times New Roman" w:hAnsi="Verdana"/>
          <w:color w:val="auto"/>
          <w:kern w:val="0"/>
          <w:szCs w:val="24"/>
          <w:lang w:eastAsia="en-GB"/>
        </w:rPr>
        <w:t xml:space="preserve">We recommend that you also consider the Continuous Learning Framework’s Organisational Capabilities and associated </w:t>
      </w:r>
      <w:r>
        <w:rPr>
          <w:rFonts w:ascii="Verdana" w:eastAsia="Times New Roman" w:hAnsi="Verdana"/>
          <w:color w:val="auto"/>
          <w:kern w:val="0"/>
          <w:szCs w:val="24"/>
          <w:lang w:eastAsia="en-GB"/>
        </w:rPr>
        <w:t>a</w:t>
      </w:r>
      <w:r w:rsidRPr="003821B1">
        <w:rPr>
          <w:rFonts w:ascii="Verdana" w:eastAsia="Times New Roman" w:hAnsi="Verdana"/>
          <w:color w:val="auto"/>
          <w:kern w:val="0"/>
          <w:szCs w:val="24"/>
          <w:lang w:eastAsia="en-GB"/>
        </w:rPr>
        <w:t>udit tool to inform your approach to developing mentoring</w:t>
      </w:r>
      <w:r>
        <w:rPr>
          <w:rFonts w:ascii="Verdana" w:eastAsia="Times New Roman" w:hAnsi="Verdana"/>
          <w:color w:val="auto"/>
          <w:kern w:val="0"/>
          <w:szCs w:val="24"/>
          <w:lang w:eastAsia="en-GB"/>
        </w:rPr>
        <w:t>. Further information can be found at:</w:t>
      </w:r>
    </w:p>
    <w:p w:rsidR="001959B5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</w:p>
    <w:p w:rsidR="001959B5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  <w:hyperlink r:id="rId4" w:history="1">
        <w:r w:rsidRPr="001F055D">
          <w:rPr>
            <w:rStyle w:val="Hyperlink"/>
            <w:rFonts w:ascii="Verdana" w:eastAsia="Times New Roman" w:hAnsi="Verdana"/>
            <w:kern w:val="0"/>
            <w:szCs w:val="24"/>
            <w:lang w:eastAsia="en-GB"/>
          </w:rPr>
          <w:t>http://www.continuouslearningframework.com/?p=399#more-399</w:t>
        </w:r>
      </w:hyperlink>
    </w:p>
    <w:p w:rsidR="001959B5" w:rsidRPr="003821B1" w:rsidRDefault="00E50519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  <w:r>
        <w:rPr>
          <w:rFonts w:ascii="Verdana" w:eastAsia="Times New Roman" w:hAnsi="Verdana"/>
          <w:color w:val="auto"/>
          <w:kern w:val="0"/>
          <w:szCs w:val="24"/>
          <w:lang w:eastAsia="en-GB"/>
        </w:rPr>
        <w:t xml:space="preserve"> </w:t>
      </w:r>
    </w:p>
    <w:p w:rsidR="001959B5" w:rsidRPr="003821B1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  <w:r w:rsidRPr="003821B1">
        <w:rPr>
          <w:rFonts w:ascii="Verdana" w:eastAsia="Times New Roman" w:hAnsi="Verdana"/>
          <w:color w:val="auto"/>
          <w:kern w:val="0"/>
          <w:szCs w:val="24"/>
          <w:lang w:eastAsia="en-GB"/>
        </w:rPr>
        <w:t>The organisational capabilities support organisations to create a culture and conditions that enable individual employees to be the best they can be.</w:t>
      </w:r>
    </w:p>
    <w:p w:rsidR="001959B5" w:rsidRPr="003821B1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  <w:r>
        <w:rPr>
          <w:rFonts w:ascii="Verdana" w:eastAsia="Times New Roman" w:hAnsi="Verdana"/>
          <w:color w:val="auto"/>
          <w:kern w:val="0"/>
          <w:szCs w:val="24"/>
          <w:lang w:eastAsia="en-GB"/>
        </w:rPr>
        <w:t xml:space="preserve">The Continuous </w:t>
      </w:r>
      <w:r w:rsidRPr="001959B5">
        <w:rPr>
          <w:rFonts w:ascii="Verdana" w:eastAsia="Times New Roman" w:hAnsi="Verdana"/>
          <w:color w:val="auto"/>
          <w:kern w:val="0"/>
          <w:szCs w:val="24"/>
          <w:lang w:eastAsia="en-GB"/>
        </w:rPr>
        <w:t>Learning Framework Or</w:t>
      </w:r>
      <w:bookmarkStart w:id="0" w:name="_GoBack"/>
      <w:bookmarkEnd w:id="0"/>
      <w:r w:rsidRPr="001959B5">
        <w:rPr>
          <w:rFonts w:ascii="Verdana" w:eastAsia="Times New Roman" w:hAnsi="Verdana"/>
          <w:color w:val="auto"/>
          <w:kern w:val="0"/>
          <w:szCs w:val="24"/>
          <w:lang w:eastAsia="en-GB"/>
        </w:rPr>
        <w:t xml:space="preserve">ganisational </w:t>
      </w:r>
      <w:r w:rsidRPr="003821B1">
        <w:rPr>
          <w:rFonts w:ascii="Verdana" w:eastAsia="Times New Roman" w:hAnsi="Verdana"/>
          <w:color w:val="auto"/>
          <w:kern w:val="0"/>
          <w:szCs w:val="24"/>
          <w:lang w:eastAsia="en-GB"/>
        </w:rPr>
        <w:t xml:space="preserve">Capabilities </w:t>
      </w:r>
      <w:r>
        <w:rPr>
          <w:rFonts w:ascii="Verdana" w:eastAsia="Times New Roman" w:hAnsi="Verdana"/>
          <w:color w:val="auto"/>
          <w:kern w:val="0"/>
          <w:szCs w:val="24"/>
          <w:lang w:eastAsia="en-GB"/>
        </w:rPr>
        <w:t>audit t</w:t>
      </w:r>
      <w:r w:rsidRPr="003821B1">
        <w:rPr>
          <w:rFonts w:ascii="Verdana" w:eastAsia="Times New Roman" w:hAnsi="Verdana"/>
          <w:color w:val="auto"/>
          <w:kern w:val="0"/>
          <w:szCs w:val="24"/>
          <w:lang w:eastAsia="en-GB"/>
        </w:rPr>
        <w:t>ool will help you assess your organisation’s performance against the organisational capabilities, and create an action plan for further development.</w:t>
      </w:r>
    </w:p>
    <w:p w:rsidR="001959B5" w:rsidRPr="003821B1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</w:p>
    <w:p w:rsidR="001959B5" w:rsidRPr="003821B1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</w:p>
    <w:p w:rsidR="001959B5" w:rsidRPr="003821B1" w:rsidRDefault="001959B5" w:rsidP="001959B5">
      <w:pPr>
        <w:spacing w:after="120" w:line="276" w:lineRule="auto"/>
        <w:jc w:val="left"/>
        <w:rPr>
          <w:rFonts w:ascii="Verdana" w:eastAsia="Times New Roman" w:hAnsi="Verdana"/>
          <w:color w:val="auto"/>
          <w:kern w:val="0"/>
          <w:szCs w:val="24"/>
          <w:lang w:eastAsia="en-GB"/>
        </w:rPr>
      </w:pPr>
    </w:p>
    <w:p w:rsidR="001959B5" w:rsidRPr="00853F12" w:rsidRDefault="001959B5" w:rsidP="001959B5">
      <w:pPr>
        <w:spacing w:after="120" w:line="276" w:lineRule="auto"/>
        <w:jc w:val="left"/>
        <w:rPr>
          <w:rFonts w:eastAsia="Times New Roman"/>
          <w:color w:val="auto"/>
          <w:kern w:val="0"/>
          <w:szCs w:val="24"/>
          <w:lang w:eastAsia="en-GB"/>
        </w:rPr>
      </w:pPr>
    </w:p>
    <w:p w:rsidR="001959B5" w:rsidRDefault="001959B5" w:rsidP="001959B5">
      <w:pPr>
        <w:spacing w:after="120" w:line="276" w:lineRule="auto"/>
        <w:jc w:val="left"/>
        <w:rPr>
          <w:rFonts w:eastAsia="Times New Roman"/>
          <w:color w:val="auto"/>
          <w:kern w:val="0"/>
          <w:szCs w:val="24"/>
          <w:lang w:eastAsia="en-GB"/>
        </w:rPr>
      </w:pPr>
    </w:p>
    <w:p w:rsidR="00700796" w:rsidRDefault="007A6522"/>
    <w:sectPr w:rsidR="00700796" w:rsidSect="001959B5">
      <w:footerReference w:type="default" r:id="rId5"/>
      <w:footerReference w:type="first" r:id="rId6"/>
      <w:pgSz w:w="11907" w:h="16840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11" w:rsidRDefault="007A65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74711" w:rsidRDefault="007A6522">
    <w:pPr>
      <w:pStyle w:val="Footer"/>
    </w:pPr>
    <w:r w:rsidRPr="003821B1">
      <w:t>Tayforth Social Services Network is acknowledged as the original developer of this tool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62" w:rsidRDefault="007A6522">
    <w:pPr>
      <w:pStyle w:val="Footer"/>
    </w:pPr>
    <w:r>
      <w:t>Tayforth</w:t>
    </w:r>
    <w:r>
      <w:t xml:space="preserve"> Social Services Network is acknowledged as the original developer of this tool</w:t>
    </w:r>
  </w:p>
  <w:p w:rsidR="00930D62" w:rsidRDefault="007A652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B5"/>
    <w:rsid w:val="001959B5"/>
    <w:rsid w:val="003B098F"/>
    <w:rsid w:val="007A6522"/>
    <w:rsid w:val="00E50519"/>
    <w:rsid w:val="00F1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1F30B-95CF-4678-BE17-452F7F9F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9B5"/>
    <w:pPr>
      <w:spacing w:after="0" w:line="240" w:lineRule="auto"/>
      <w:jc w:val="both"/>
    </w:pPr>
    <w:rPr>
      <w:rFonts w:ascii="Calibri" w:eastAsia="Calibri" w:hAnsi="Calibri" w:cs="Times New Roman"/>
      <w:color w:val="000000"/>
      <w:kern w:val="28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9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5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9B5"/>
    <w:rPr>
      <w:rFonts w:ascii="Calibri" w:eastAsia="Calibri" w:hAnsi="Calibri" w:cs="Times New Roman"/>
      <w:color w:val="000000"/>
      <w:kern w:val="28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95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9B5"/>
    <w:rPr>
      <w:rFonts w:ascii="Calibri" w:eastAsia="Calibri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B5"/>
    <w:rPr>
      <w:rFonts w:ascii="Segoe UI" w:eastAsia="Calibr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continuouslearningframework.com/?p=399#more-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McGivern</dc:creator>
  <cp:keywords/>
  <dc:description/>
  <cp:lastModifiedBy>Aaron McGivern</cp:lastModifiedBy>
  <cp:revision>2</cp:revision>
  <dcterms:created xsi:type="dcterms:W3CDTF">2015-01-20T09:14:00Z</dcterms:created>
  <dcterms:modified xsi:type="dcterms:W3CDTF">2015-01-20T09:51:00Z</dcterms:modified>
</cp:coreProperties>
</file>